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8D3A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6ADC15F5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75929113" w14:textId="77777777" w:rsidR="00F66A37" w:rsidRPr="00D838F8" w:rsidRDefault="00F66A37" w:rsidP="00D838F8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b/>
          <w:bCs/>
          <w:color w:val="0000FF"/>
          <w:szCs w:val="24"/>
          <w:lang w:eastAsia="es-CO"/>
        </w:rPr>
        <w:t>OFICIO Nº 0181 [901109]</w:t>
      </w:r>
    </w:p>
    <w:p w14:paraId="12D47CBE" w14:textId="77777777" w:rsidR="00F66A37" w:rsidRPr="00D838F8" w:rsidRDefault="00F66A37" w:rsidP="00D838F8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b/>
          <w:bCs/>
          <w:color w:val="0000FF"/>
          <w:szCs w:val="24"/>
          <w:lang w:eastAsia="es-CO"/>
        </w:rPr>
        <w:t>12-02-2021</w:t>
      </w:r>
    </w:p>
    <w:p w14:paraId="7CC23BCB" w14:textId="77777777" w:rsidR="00F66A37" w:rsidRPr="00D838F8" w:rsidRDefault="00F66A37" w:rsidP="00D838F8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b/>
          <w:bCs/>
          <w:color w:val="0000FF"/>
          <w:szCs w:val="24"/>
          <w:lang w:eastAsia="es-CO"/>
        </w:rPr>
        <w:t>DIAN</w:t>
      </w:r>
    </w:p>
    <w:p w14:paraId="427CD27B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49A39CB6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4BFDEC4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Subdirección de Gestión Normativa y Doctrina</w:t>
      </w:r>
    </w:p>
    <w:p w14:paraId="6FD1C736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100208221-0181</w:t>
      </w:r>
    </w:p>
    <w:p w14:paraId="5DD463CB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Bogotá, D.C.</w:t>
      </w:r>
    </w:p>
    <w:p w14:paraId="38054248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76"/>
        <w:gridCol w:w="276"/>
        <w:gridCol w:w="6402"/>
      </w:tblGrid>
      <w:tr w:rsidR="00F66A37" w:rsidRPr="00D838F8" w14:paraId="550310D6" w14:textId="77777777" w:rsidTr="00F66A37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8E56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b/>
                <w:bCs/>
                <w:szCs w:val="24"/>
                <w:lang w:eastAsia="es-CO"/>
              </w:rPr>
              <w:t>Tema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4C57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69F0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0F33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Procedimiento tributario</w:t>
            </w:r>
          </w:p>
        </w:tc>
      </w:tr>
      <w:tr w:rsidR="00F66A37" w:rsidRPr="00D838F8" w14:paraId="5C469F9F" w14:textId="77777777" w:rsidTr="00F66A37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BE80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b/>
                <w:bCs/>
                <w:szCs w:val="24"/>
                <w:lang w:eastAsia="es-CO"/>
              </w:rPr>
              <w:t>Descriptores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2FC3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F7AD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654A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Compensación con saldos a favor</w:t>
            </w:r>
          </w:p>
        </w:tc>
      </w:tr>
      <w:tr w:rsidR="00F66A37" w:rsidRPr="00D838F8" w14:paraId="0CF9FEDC" w14:textId="77777777" w:rsidTr="00F66A37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8B81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b/>
                <w:bCs/>
                <w:szCs w:val="24"/>
                <w:lang w:eastAsia="es-CO"/>
              </w:rPr>
              <w:t>Fuentes formales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8731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2689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3767" w14:textId="77777777" w:rsidR="00F66A37" w:rsidRPr="00D838F8" w:rsidRDefault="00A9557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hyperlink r:id="rId4" w:tooltip="Estatuto Tributario CETA" w:history="1">
              <w:r w:rsidR="00F66A37" w:rsidRPr="00D838F8">
                <w:rPr>
                  <w:rFonts w:eastAsia="Times New Roman" w:cs="Times New Roman"/>
                  <w:color w:val="0089E1"/>
                  <w:szCs w:val="24"/>
                  <w:lang w:eastAsia="es-CO"/>
                </w:rPr>
                <w:t>Artículo 910</w:t>
              </w:r>
            </w:hyperlink>
            <w:r w:rsidR="00F66A37" w:rsidRPr="00D838F8">
              <w:rPr>
                <w:rFonts w:eastAsia="Times New Roman" w:cs="Times New Roman"/>
                <w:szCs w:val="24"/>
                <w:lang w:eastAsia="es-CO"/>
              </w:rPr>
              <w:t> del Estatuto Tributario</w:t>
            </w:r>
          </w:p>
          <w:p w14:paraId="231237F9" w14:textId="77777777" w:rsidR="00F66A37" w:rsidRPr="00D838F8" w:rsidRDefault="00F66A37" w:rsidP="00D838F8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38F8">
              <w:rPr>
                <w:rFonts w:eastAsia="Times New Roman" w:cs="Times New Roman"/>
                <w:szCs w:val="24"/>
                <w:lang w:eastAsia="es-CO"/>
              </w:rPr>
              <w:t>Artículos 1.6.1.21.28, 1.6.1.21.29, 1.6.1.21.31 y 2.1.1.16 del Decreto 1625 de 2016.</w:t>
            </w:r>
          </w:p>
        </w:tc>
      </w:tr>
    </w:tbl>
    <w:p w14:paraId="6DB3089F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085EBFA4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35EA9E11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Cordial saludo.</w:t>
      </w:r>
    </w:p>
    <w:p w14:paraId="04BEC174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510395D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7A755D6D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038E2B18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Mediante el radicado de la referencia, la peticionaria consulta textualmente: </w:t>
      </w:r>
      <w:r w:rsidRPr="00D838F8">
        <w:rPr>
          <w:rFonts w:eastAsia="Times New Roman" w:cs="Times New Roman"/>
          <w:i/>
          <w:iCs/>
          <w:color w:val="000000"/>
          <w:szCs w:val="24"/>
          <w:lang w:eastAsia="es-CO"/>
        </w:rPr>
        <w:t>“En la declaración anual del Régimen Simple, si esta arroja saldo a favor, con este se puede cubrir los intereses de mora por ajustes a anticipos y también puede cubrir la sanción por extemporaneidad?”</w:t>
      </w:r>
    </w:p>
    <w:p w14:paraId="0017DB04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E39CAC6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Sobre el particular, las consideraciones de este Despacho son las siguientes:</w:t>
      </w:r>
    </w:p>
    <w:p w14:paraId="7A24C8BF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7036456A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De antemano, es preciso indicar que el inciso 2° del artículo 1.6.1.21.29 del Decreto 1625 de 2016 impide compensar los saldos a favor de las obligaciones aduaneras y de otras obligaciones tributarias con </w:t>
      </w:r>
      <w:r w:rsidRPr="00D838F8">
        <w:rPr>
          <w:rFonts w:eastAsia="Times New Roman" w:cs="Times New Roman"/>
          <w:i/>
          <w:iCs/>
          <w:color w:val="000000"/>
          <w:szCs w:val="24"/>
          <w:lang w:eastAsia="es-CO"/>
        </w:rPr>
        <w:t>“deudas originadas por concepto de los anticipos liquidados en los recibos electrónicos del SIMPLE o el valor a pagar de la declaración del SIMPLE”</w:t>
      </w:r>
      <w:r w:rsidRPr="00D838F8">
        <w:rPr>
          <w:rFonts w:eastAsia="Times New Roman" w:cs="Times New Roman"/>
          <w:color w:val="000000"/>
          <w:szCs w:val="24"/>
          <w:lang w:eastAsia="es-CO"/>
        </w:rPr>
        <w:t>, lo cual obedece al hecho de que </w:t>
      </w:r>
      <w:r w:rsidRPr="00D838F8">
        <w:rPr>
          <w:rFonts w:eastAsia="Times New Roman" w:cs="Times New Roman"/>
          <w:i/>
          <w:iCs/>
          <w:color w:val="000000"/>
          <w:szCs w:val="24"/>
          <w:lang w:eastAsia="es-CO"/>
        </w:rPr>
        <w:t>“el impuesto SIMPLE incorpora el impuesto de industria y comercio consolidado y este último debe transferirse a los municipios y/o distritos” </w:t>
      </w:r>
      <w:r w:rsidRPr="00D838F8">
        <w:rPr>
          <w:rFonts w:eastAsia="Times New Roman" w:cs="Times New Roman"/>
          <w:color w:val="000000"/>
          <w:szCs w:val="24"/>
          <w:lang w:eastAsia="es-CO"/>
        </w:rPr>
        <w:t>(cfr. parte motiva del Decreto 1091 de 2020).</w:t>
      </w:r>
    </w:p>
    <w:p w14:paraId="6D11E16D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lastRenderedPageBreak/>
        <w:t> </w:t>
      </w:r>
    </w:p>
    <w:p w14:paraId="6201FE6B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En este sentido, en el Decreto 1091 de 2020 – que sustituyó algunas disposiciones del Decreto 1625 de 2016 – se incluyeron diferentes tratamientos de los saldos a favor, dependiendo de las circunstancias que concurrieran al caso, a saber:</w:t>
      </w:r>
    </w:p>
    <w:p w14:paraId="018A3766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E7C0671" w14:textId="77777777" w:rsidR="00F66A37" w:rsidRPr="00D838F8" w:rsidRDefault="00F66A37" w:rsidP="00D838F8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i) Compensación de saldos a favor en la declaración del SIMPLE al momento de optar nuevamente por el régimen del impuesto sobre la renta o de la exclusión del SIMPLE (artículo 1.6.1.21.28 del Decreto 1625 de 2016).</w:t>
      </w:r>
    </w:p>
    <w:p w14:paraId="670FF457" w14:textId="77777777" w:rsidR="00F66A37" w:rsidRPr="00D838F8" w:rsidRDefault="00F66A37" w:rsidP="00D838F8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6A1DAA65" w14:textId="77777777" w:rsidR="00F66A37" w:rsidRPr="00D838F8" w:rsidRDefault="00F66A37" w:rsidP="00D838F8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ii) Improcedencia de la compensación del saldo a favor liquidado en las declaraciones del impuesto sobre las ventas – IVA presentadas por los contribuyentes del SIMPLE, salvo el saldo a favor que se origine en la declaración anual del impuesto sobre las ventas – IVA en los términos previstos en el artículo 1.6.1.21.31 </w:t>
      </w:r>
      <w:r w:rsidRPr="00D838F8">
        <w:rPr>
          <w:rFonts w:eastAsia="Times New Roman" w:cs="Times New Roman"/>
          <w:i/>
          <w:iCs/>
          <w:color w:val="000000"/>
          <w:szCs w:val="24"/>
          <w:lang w:eastAsia="es-CO"/>
        </w:rPr>
        <w:t>ibídem</w:t>
      </w:r>
      <w:r w:rsidRPr="00D838F8">
        <w:rPr>
          <w:rFonts w:eastAsia="Times New Roman" w:cs="Times New Roman"/>
          <w:color w:val="000000"/>
          <w:szCs w:val="24"/>
          <w:lang w:eastAsia="es-CO"/>
        </w:rPr>
        <w:t>.</w:t>
      </w:r>
    </w:p>
    <w:p w14:paraId="0F1EE5B9" w14:textId="77777777" w:rsidR="00F66A37" w:rsidRPr="00D838F8" w:rsidRDefault="00F66A37" w:rsidP="00D838F8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F5F9571" w14:textId="77777777" w:rsidR="00F66A37" w:rsidRPr="00D838F8" w:rsidRDefault="00F66A37" w:rsidP="00D838F8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iii) Compensación del ICA en el SIMPLE (artículo 2.1.1.16 </w:t>
      </w:r>
      <w:r w:rsidRPr="00D838F8">
        <w:rPr>
          <w:rFonts w:eastAsia="Times New Roman" w:cs="Times New Roman"/>
          <w:i/>
          <w:iCs/>
          <w:color w:val="000000"/>
          <w:szCs w:val="24"/>
          <w:lang w:eastAsia="es-CO"/>
        </w:rPr>
        <w:t>ibídem</w:t>
      </w:r>
      <w:r w:rsidRPr="00D838F8">
        <w:rPr>
          <w:rFonts w:eastAsia="Times New Roman" w:cs="Times New Roman"/>
          <w:color w:val="000000"/>
          <w:szCs w:val="24"/>
          <w:lang w:eastAsia="es-CO"/>
        </w:rPr>
        <w:t>).</w:t>
      </w:r>
    </w:p>
    <w:p w14:paraId="00F4E27A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4DA10E4D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Por lo tanto, ya que en el interrogante formulado por la peticionaria no se especificó la particularidad del saldo a favor, se invita a la misma a tener en cuenta las disposiciones previamente indicadas en su caso concreto.</w:t>
      </w:r>
    </w:p>
    <w:p w14:paraId="36AE91B7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6218F471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Adicionalmente, debe advertirse sobre la compensación automática prevista en el inciso 2° del </w:t>
      </w:r>
      <w:hyperlink r:id="rId5" w:tooltip="Estatuto Tributario CETA" w:history="1">
        <w:r w:rsidRPr="00D838F8">
          <w:rPr>
            <w:rFonts w:eastAsia="Times New Roman" w:cs="Times New Roman"/>
            <w:color w:val="0089E1"/>
            <w:szCs w:val="24"/>
            <w:lang w:eastAsia="es-CO"/>
          </w:rPr>
          <w:t>artículo 910</w:t>
        </w:r>
      </w:hyperlink>
      <w:r w:rsidRPr="00D838F8">
        <w:rPr>
          <w:rFonts w:eastAsia="Times New Roman" w:cs="Times New Roman"/>
          <w:color w:val="000000"/>
          <w:szCs w:val="24"/>
          <w:lang w:eastAsia="es-CO"/>
        </w:rPr>
        <w:t> del Estatuto Tributario, el cual establece: </w:t>
      </w:r>
      <w:r w:rsidRPr="00D838F8">
        <w:rPr>
          <w:rFonts w:eastAsia="Times New Roman" w:cs="Times New Roman"/>
          <w:i/>
          <w:iCs/>
          <w:color w:val="000000"/>
          <w:szCs w:val="24"/>
          <w:lang w:eastAsia="es-CO"/>
        </w:rPr>
        <w:t>“En caso de que los valores pagados bimestralmente sean superiores al impuesto unificado bajo el régimen simple de tributación – SIMPLE, se reconocerá un saldo a favor compensable de forma automática con los recibos electrónicos SIMPLE de los meses siguientes o con las declaraciones consolidadas anuales siguientes.</w:t>
      </w:r>
      <w:r w:rsidRPr="00D838F8">
        <w:rPr>
          <w:rFonts w:eastAsia="Times New Roman" w:cs="Times New Roman"/>
          <w:color w:val="000000"/>
          <w:szCs w:val="24"/>
          <w:lang w:eastAsia="es-CO"/>
        </w:rPr>
        <w:t>”</w:t>
      </w:r>
    </w:p>
    <w:p w14:paraId="7C6BF1FC" w14:textId="77777777" w:rsidR="00A95577" w:rsidRDefault="00A9557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13DB2455" w14:textId="07810A11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Atentamente,</w:t>
      </w:r>
    </w:p>
    <w:p w14:paraId="1922633A" w14:textId="77777777" w:rsidR="00A95577" w:rsidRDefault="00A95577" w:rsidP="00D838F8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es-CO"/>
        </w:rPr>
      </w:pPr>
    </w:p>
    <w:p w14:paraId="1D563FB9" w14:textId="34897A3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b/>
          <w:bCs/>
          <w:color w:val="000000"/>
          <w:szCs w:val="24"/>
          <w:lang w:eastAsia="es-CO"/>
        </w:rPr>
        <w:t>PABLO EMILIO MENDOZA VELILLA</w:t>
      </w:r>
    </w:p>
    <w:p w14:paraId="10D75A2D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Subdirector de Gestión Normativa y Doctrina</w:t>
      </w:r>
    </w:p>
    <w:p w14:paraId="30AB2C24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Dirección de Gestión Jurídica</w:t>
      </w:r>
    </w:p>
    <w:p w14:paraId="31C938F8" w14:textId="77777777" w:rsidR="00F66A37" w:rsidRPr="00D838F8" w:rsidRDefault="00F66A37" w:rsidP="00D838F8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D838F8">
        <w:rPr>
          <w:rFonts w:eastAsia="Times New Roman" w:cs="Times New Roman"/>
          <w:color w:val="000000"/>
          <w:szCs w:val="24"/>
          <w:lang w:eastAsia="es-CO"/>
        </w:rPr>
        <w:t>UAE-DIAN</w:t>
      </w:r>
    </w:p>
    <w:p w14:paraId="1FBF5714" w14:textId="77777777" w:rsidR="007F5CC8" w:rsidRPr="00D838F8" w:rsidRDefault="007F5CC8" w:rsidP="00D838F8">
      <w:pPr>
        <w:spacing w:line="360" w:lineRule="auto"/>
        <w:rPr>
          <w:rFonts w:cs="Times New Roman"/>
          <w:szCs w:val="24"/>
        </w:rPr>
      </w:pPr>
    </w:p>
    <w:sectPr w:rsidR="007F5CC8" w:rsidRPr="00D838F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37"/>
    <w:rsid w:val="000F3837"/>
    <w:rsid w:val="001E311E"/>
    <w:rsid w:val="003F2563"/>
    <w:rsid w:val="00434AE6"/>
    <w:rsid w:val="007F5CC8"/>
    <w:rsid w:val="008779BE"/>
    <w:rsid w:val="00A95577"/>
    <w:rsid w:val="00D838F8"/>
    <w:rsid w:val="00E93B96"/>
    <w:rsid w:val="00EB5ADB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1514"/>
  <w15:chartTrackingRefBased/>
  <w15:docId w15:val="{D693E132-78B4-45E9-92F6-FB96342F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ta.org.co/html/vista_de_un_articulo.asp?Norma=42521" TargetMode="External"/><Relationship Id="rId4" Type="http://schemas.openxmlformats.org/officeDocument/2006/relationships/hyperlink" Target="https://www.ceta.org.co/html/vista_de_un_articulo.asp?Norma=425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5</cp:revision>
  <dcterms:created xsi:type="dcterms:W3CDTF">2022-06-03T17:21:00Z</dcterms:created>
  <dcterms:modified xsi:type="dcterms:W3CDTF">2022-07-06T23:22:00Z</dcterms:modified>
</cp:coreProperties>
</file>